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0FC81" w14:textId="446268CB" w:rsidR="00580760" w:rsidRPr="00AC3CD2" w:rsidRDefault="00580760" w:rsidP="00580760">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#119</w:t>
      </w:r>
      <w:r>
        <w:rPr>
          <w:rFonts w:eastAsiaTheme="minorHAnsi" w:cs="Arial"/>
          <w:b/>
          <w:bCs/>
          <w:sz w:val="24"/>
          <w:szCs w:val="24"/>
          <w:lang w:val="en-US"/>
        </w:rPr>
        <w:t>bis</w:t>
      </w:r>
      <w:r w:rsidRPr="00AC3CD2">
        <w:rPr>
          <w:rFonts w:eastAsiaTheme="minorHAnsi" w:cs="Arial"/>
          <w:b/>
          <w:bCs/>
          <w:sz w:val="24"/>
          <w:szCs w:val="24"/>
          <w:lang w:val="en-US"/>
        </w:rPr>
        <w:t>-e</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R2-22</w:t>
      </w:r>
      <w:r w:rsidR="001B56E8">
        <w:rPr>
          <w:rFonts w:eastAsiaTheme="minorHAnsi" w:cs="Arial"/>
          <w:b/>
          <w:bCs/>
          <w:sz w:val="24"/>
          <w:szCs w:val="24"/>
          <w:lang w:val="en-US"/>
        </w:rPr>
        <w:t>10194</w:t>
      </w:r>
    </w:p>
    <w:p w14:paraId="6753E722" w14:textId="77777777" w:rsidR="00580760" w:rsidRPr="00AC3CD2" w:rsidRDefault="00580760" w:rsidP="00580760">
      <w:pPr>
        <w:pStyle w:val="CRCoverPage"/>
        <w:tabs>
          <w:tab w:val="left" w:pos="1980"/>
        </w:tabs>
        <w:spacing w:line="259" w:lineRule="auto"/>
        <w:jc w:val="both"/>
        <w:rPr>
          <w:rFonts w:eastAsiaTheme="minorEastAsia" w:cs="Arial"/>
          <w:b/>
          <w:bCs/>
          <w:sz w:val="24"/>
          <w:szCs w:val="22"/>
          <w:lang w:val="en-US" w:eastAsia="ko-KR"/>
        </w:rPr>
      </w:pPr>
      <w:r w:rsidRPr="00AC3CD2">
        <w:rPr>
          <w:rFonts w:eastAsiaTheme="minorEastAsia" w:cs="Arial"/>
          <w:b/>
          <w:bCs/>
          <w:sz w:val="24"/>
          <w:szCs w:val="22"/>
          <w:lang w:val="en-US" w:eastAsia="ko-KR"/>
        </w:rPr>
        <w:t>Online</w:t>
      </w:r>
      <w:r w:rsidRPr="00AC3CD2">
        <w:rPr>
          <w:rFonts w:eastAsiaTheme="minorEastAsia" w:cs="Arial"/>
          <w:b/>
          <w:bCs/>
          <w:sz w:val="24"/>
          <w:szCs w:val="24"/>
          <w:lang w:val="en-US" w:eastAsia="ko-KR"/>
        </w:rPr>
        <w:t>, 1</w:t>
      </w:r>
      <w:r>
        <w:rPr>
          <w:rFonts w:eastAsiaTheme="minorEastAsia" w:cs="Arial"/>
          <w:b/>
          <w:bCs/>
          <w:sz w:val="24"/>
          <w:szCs w:val="24"/>
          <w:lang w:val="en-US" w:eastAsia="ko-KR"/>
        </w:rPr>
        <w:t>0</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 </w:t>
      </w:r>
      <w:r>
        <w:rPr>
          <w:rFonts w:eastAsiaTheme="minorEastAsia" w:cs="Arial"/>
          <w:b/>
          <w:bCs/>
          <w:sz w:val="24"/>
          <w:szCs w:val="24"/>
          <w:lang w:val="en-US" w:eastAsia="ko-KR"/>
        </w:rPr>
        <w:t>19</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October</w:t>
      </w:r>
      <w:r w:rsidRPr="00AC3CD2">
        <w:rPr>
          <w:rFonts w:eastAsiaTheme="minorEastAsia" w:cs="Arial"/>
          <w:b/>
          <w:bCs/>
          <w:sz w:val="24"/>
          <w:szCs w:val="24"/>
          <w:lang w:val="en-US" w:eastAsia="ko-KR"/>
        </w:rPr>
        <w:t>, 2022</w:t>
      </w:r>
    </w:p>
    <w:p w14:paraId="18D6F060" w14:textId="77777777" w:rsidR="00580760" w:rsidRDefault="00580760" w:rsidP="00580760">
      <w:pPr>
        <w:pStyle w:val="CRCoverPage"/>
        <w:tabs>
          <w:tab w:val="left" w:pos="1980"/>
        </w:tabs>
        <w:spacing w:line="259" w:lineRule="auto"/>
        <w:jc w:val="both"/>
        <w:rPr>
          <w:rFonts w:cs="Arial"/>
          <w:b/>
          <w:bCs/>
          <w:sz w:val="24"/>
          <w:szCs w:val="24"/>
          <w:lang w:val="en-US"/>
        </w:rPr>
      </w:pPr>
    </w:p>
    <w:p w14:paraId="08D0515E" w14:textId="623ED0B7" w:rsidR="00580760" w:rsidRPr="00CA65F5" w:rsidRDefault="00580760" w:rsidP="00580760">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Pr>
          <w:rFonts w:cs="Arial"/>
          <w:b/>
          <w:bCs/>
          <w:sz w:val="24"/>
          <w:szCs w:val="24"/>
          <w:lang w:val="en-US"/>
        </w:rPr>
        <w:t>8.4.2.</w:t>
      </w:r>
      <w:r w:rsidR="001B56E8">
        <w:rPr>
          <w:rFonts w:cs="Arial"/>
          <w:b/>
          <w:bCs/>
          <w:sz w:val="24"/>
          <w:szCs w:val="24"/>
          <w:lang w:val="en-US"/>
        </w:rPr>
        <w:t>3</w:t>
      </w:r>
    </w:p>
    <w:p w14:paraId="3ACE495B" w14:textId="77777777" w:rsidR="00580760" w:rsidRPr="00CA65F5" w:rsidRDefault="00580760" w:rsidP="00580760">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16E10978" w14:textId="77777777" w:rsidR="00580760" w:rsidRDefault="00580760" w:rsidP="00580760">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Pr>
          <w:rFonts w:ascii="Arial" w:hAnsi="Arial" w:cs="Arial"/>
          <w:b/>
          <w:bCs/>
          <w:sz w:val="24"/>
          <w:szCs w:val="24"/>
        </w:rPr>
        <w:t>L1/2 handover trigger.</w:t>
      </w:r>
    </w:p>
    <w:p w14:paraId="5234F92A" w14:textId="77777777" w:rsidR="00580760" w:rsidRPr="003630F9" w:rsidRDefault="00580760" w:rsidP="00580760">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55479F6A" w14:textId="77777777" w:rsidR="00580760" w:rsidRDefault="00580760" w:rsidP="00580760">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37BB9993" w14:textId="77777777" w:rsidR="00580760" w:rsidRDefault="00580760" w:rsidP="00580760">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[1]</w:t>
      </w:r>
      <w:r>
        <w:rPr>
          <w:lang w:val="en-US"/>
        </w:rPr>
        <w:fldChar w:fldCharType="end"/>
      </w:r>
      <w:r>
        <w:rPr>
          <w:lang w:val="en-US"/>
        </w:rPr>
        <w:t xml:space="preserve"> includes the following objectives for L1/2 based inter-cell mobility: </w:t>
      </w:r>
    </w:p>
    <w:p w14:paraId="32FF5DBE" w14:textId="77777777" w:rsidR="00580760" w:rsidRDefault="00580760" w:rsidP="00580760">
      <w:pPr>
        <w:jc w:val="both"/>
        <w:rPr>
          <w:lang w:val="en-US"/>
        </w:rPr>
      </w:pPr>
    </w:p>
    <w:tbl>
      <w:tblPr>
        <w:tblStyle w:val="TableGrid"/>
        <w:tblW w:w="0" w:type="auto"/>
        <w:tblLook w:val="04A0" w:firstRow="1" w:lastRow="0" w:firstColumn="1" w:lastColumn="0" w:noHBand="0" w:noVBand="1"/>
      </w:tblPr>
      <w:tblGrid>
        <w:gridCol w:w="9629"/>
      </w:tblGrid>
      <w:tr w:rsidR="00580760" w14:paraId="591AD233" w14:textId="77777777" w:rsidTr="00FA7A46">
        <w:tc>
          <w:tcPr>
            <w:tcW w:w="9629" w:type="dxa"/>
          </w:tcPr>
          <w:p w14:paraId="09BC047D" w14:textId="77777777" w:rsidR="00580760" w:rsidRPr="00621C66" w:rsidRDefault="00580760" w:rsidP="00FA7A46">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D04E74F" w14:textId="77777777" w:rsidR="00580760" w:rsidRPr="00621C66" w:rsidRDefault="00580760" w:rsidP="00FA7A46">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102A8882" w14:textId="77777777" w:rsidR="00580760" w:rsidRPr="00621C66" w:rsidRDefault="00580760" w:rsidP="00FA7A46">
            <w:pPr>
              <w:numPr>
                <w:ilvl w:val="0"/>
                <w:numId w:val="18"/>
              </w:numPr>
              <w:overflowPunct w:val="0"/>
              <w:autoSpaceDE w:val="0"/>
              <w:autoSpaceDN w:val="0"/>
              <w:adjustRightInd w:val="0"/>
              <w:jc w:val="both"/>
              <w:textAlignment w:val="baseline"/>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4AC3AFA7" w14:textId="77777777" w:rsidR="00580760" w:rsidRDefault="00580760" w:rsidP="00FA7A46">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50367DFF" w14:textId="77777777" w:rsidR="00580760" w:rsidRPr="00F736B4" w:rsidRDefault="00580760" w:rsidP="00FA7A46">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558C81CB" w14:textId="77777777" w:rsidR="00580760" w:rsidRPr="00651822" w:rsidRDefault="00580760" w:rsidP="00FA7A46">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0A5C20A4" w14:textId="77777777" w:rsidR="00580760" w:rsidRPr="00A5058F" w:rsidRDefault="00580760" w:rsidP="00FA7A46">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0B5CE988" w14:textId="77777777" w:rsidR="00580760" w:rsidRDefault="00580760" w:rsidP="00FA7A46">
            <w:pPr>
              <w:jc w:val="both"/>
              <w:rPr>
                <w:bCs/>
                <w:lang w:val="en-US"/>
              </w:rPr>
            </w:pPr>
          </w:p>
          <w:p w14:paraId="0677B17E" w14:textId="77777777" w:rsidR="00580760" w:rsidRPr="00F736B4" w:rsidRDefault="00580760" w:rsidP="00FA7A46">
            <w:pPr>
              <w:ind w:left="720"/>
              <w:jc w:val="both"/>
              <w:rPr>
                <w:bCs/>
                <w:i/>
                <w:lang w:val="en-US"/>
              </w:rPr>
            </w:pPr>
            <w:r w:rsidRPr="00F736B4">
              <w:rPr>
                <w:bCs/>
                <w:i/>
                <w:lang w:val="en-US"/>
              </w:rPr>
              <w:t>Note 2: FR2 specific enhancements are not precluded, if any.</w:t>
            </w:r>
          </w:p>
          <w:p w14:paraId="38E0F342" w14:textId="77777777" w:rsidR="00580760" w:rsidRPr="00F736B4" w:rsidRDefault="00580760" w:rsidP="00FA7A46">
            <w:pPr>
              <w:ind w:left="720"/>
              <w:jc w:val="both"/>
              <w:rPr>
                <w:bCs/>
                <w:i/>
                <w:lang w:val="en-US"/>
              </w:rPr>
            </w:pPr>
            <w:r w:rsidRPr="00F736B4">
              <w:rPr>
                <w:bCs/>
                <w:i/>
                <w:lang w:val="en-US"/>
              </w:rPr>
              <w:t>Note 3: The procedure of L1/L2 based inter-cell mobility are applicable to the following scenarios:</w:t>
            </w:r>
          </w:p>
          <w:p w14:paraId="28E10591"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Standalone, CA and NR-DC case with serving cell change within one CG</w:t>
            </w:r>
          </w:p>
          <w:p w14:paraId="5B9F564E"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0ABEC4E2"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5393BDB5"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65E1BE04" w14:textId="77777777" w:rsidR="00580760" w:rsidRPr="00651822" w:rsidRDefault="00580760" w:rsidP="00FA7A46">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non-synchronized</w:t>
            </w:r>
          </w:p>
          <w:p w14:paraId="2043838F" w14:textId="77777777" w:rsidR="00580760" w:rsidRDefault="00580760" w:rsidP="00FA7A46">
            <w:pPr>
              <w:jc w:val="both"/>
              <w:rPr>
                <w:lang w:val="en-US"/>
              </w:rPr>
            </w:pPr>
          </w:p>
        </w:tc>
      </w:tr>
    </w:tbl>
    <w:p w14:paraId="74FED2C7" w14:textId="77777777" w:rsidR="00580760" w:rsidRDefault="00580760" w:rsidP="00580760">
      <w:pPr>
        <w:jc w:val="both"/>
        <w:rPr>
          <w:lang w:val="en-US"/>
        </w:rPr>
      </w:pPr>
    </w:p>
    <w:p w14:paraId="6EE91DD7" w14:textId="77777777" w:rsidR="00580760" w:rsidRPr="00B5390A" w:rsidRDefault="00580760" w:rsidP="00580760">
      <w:pPr>
        <w:jc w:val="both"/>
        <w:rPr>
          <w:lang w:val="en-US"/>
        </w:rPr>
      </w:pPr>
      <w:r>
        <w:rPr>
          <w:lang w:val="en-US"/>
        </w:rPr>
        <w:t>The main aim of this objective is to introduce L1/2 triggered cell change, for mobility latency reduction. In this contribution we provide our view on the trigger mechanism.</w:t>
      </w:r>
    </w:p>
    <w:p w14:paraId="002AC38F" w14:textId="77777777" w:rsidR="00580760" w:rsidRDefault="00580760" w:rsidP="00580760">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039D0192" w14:textId="77777777" w:rsidR="00580760" w:rsidRDefault="00580760" w:rsidP="00580760">
      <w:pPr>
        <w:rPr>
          <w:noProof/>
        </w:rPr>
      </w:pPr>
    </w:p>
    <w:p w14:paraId="3951EF7E" w14:textId="77777777" w:rsidR="00580760" w:rsidRDefault="00580760" w:rsidP="00580760">
      <w:bookmarkStart w:id="0" w:name="_Hlk110871457"/>
      <w:r>
        <w:t xml:space="preserve">Once the UE has been pre-configured with the candidate serving cell information at RRC level, there needs to be a way to activate a particular RRC configuration. The main candidate options would be to use either L1 signalling (e.g., DCI) or MAC CE. Since the current RRC reconfigurations are performed using signalling acknowledged at MAC, RLC, and RRC, we will lose some of the reliability provided. </w:t>
      </w:r>
    </w:p>
    <w:p w14:paraId="175D987E" w14:textId="77777777" w:rsidR="00580760" w:rsidRDefault="00580760" w:rsidP="00580760"/>
    <w:p w14:paraId="7CAFD3B1" w14:textId="77777777" w:rsidR="00580760" w:rsidRDefault="00580760" w:rsidP="00580760">
      <w:r>
        <w:t xml:space="preserve">With MAC CE, it is at least possible to use HARQ ACK/NACK and retransmissions in order that the network can confirm successful delivery, even though this is not as robust as using RRC signalling (E.g. we will occasionally have HARQ ACK misdetection and therefore we also need to consider what happens in the failure cases), it offers some advantage compared to L1 signalling alone. </w:t>
      </w:r>
    </w:p>
    <w:p w14:paraId="005916CE" w14:textId="77777777" w:rsidR="00580760" w:rsidRDefault="00580760" w:rsidP="00580760"/>
    <w:p w14:paraId="74CC86B8" w14:textId="77777777" w:rsidR="00580760" w:rsidRDefault="00580760" w:rsidP="00580760">
      <w:pPr>
        <w:rPr>
          <w:b/>
          <w:bCs/>
        </w:rPr>
      </w:pPr>
      <w:r>
        <w:rPr>
          <w:b/>
          <w:bCs/>
        </w:rPr>
        <w:t xml:space="preserve">Proposal 1: To ensure that the NW can confirm successful delivery of the HO trigger (via HARQ ACK) the L1/2 mobility trigger is conveyed in a MAC CE. </w:t>
      </w:r>
    </w:p>
    <w:p w14:paraId="65592F4A" w14:textId="77777777" w:rsidR="00580760" w:rsidRDefault="00580760" w:rsidP="00580760"/>
    <w:p w14:paraId="29780812" w14:textId="77777777" w:rsidR="00580760" w:rsidRDefault="00580760" w:rsidP="00580760">
      <w:r>
        <w:t xml:space="preserve">Based on the discussion so far, the UE would be pre-configured with multiple candidate configurations. It is yet </w:t>
      </w:r>
      <w:proofErr w:type="spellStart"/>
      <w:r>
        <w:t>do</w:t>
      </w:r>
      <w:proofErr w:type="spellEnd"/>
      <w:r>
        <w:t xml:space="preserve"> be decided whether this is based on RRC reconfiguration, Cell Group, or cell. However it should be possible at this stage to agree that we, as a minimum, need to indicate the index of this candidate configuration so that the UE can apply it.</w:t>
      </w:r>
    </w:p>
    <w:p w14:paraId="7CDA5A60" w14:textId="77777777" w:rsidR="00580760" w:rsidRDefault="00580760" w:rsidP="00580760"/>
    <w:p w14:paraId="5FCA0BC9" w14:textId="77777777" w:rsidR="00580760" w:rsidRDefault="00580760" w:rsidP="00580760">
      <w:r>
        <w:lastRenderedPageBreak/>
        <w:t>As an example, we might have a single octet MAC CE which can indicate one of 32 configuration indexes as follows:</w:t>
      </w:r>
    </w:p>
    <w:p w14:paraId="6533020C" w14:textId="77777777" w:rsidR="00580760" w:rsidRDefault="00580760" w:rsidP="00580760"/>
    <w:p w14:paraId="70E27301" w14:textId="77777777" w:rsidR="00580760" w:rsidRDefault="00580760" w:rsidP="00580760">
      <w:pPr>
        <w:jc w:val="center"/>
      </w:pPr>
      <w:r w:rsidRPr="00D15C53">
        <w:rPr>
          <w:noProof/>
        </w:rPr>
        <w:drawing>
          <wp:inline distT="0" distB="0" distL="0" distR="0" wp14:anchorId="0C3A0D7F" wp14:editId="2A246B79">
            <wp:extent cx="3705225" cy="73847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23900" cy="742198"/>
                    </a:xfrm>
                    <a:prstGeom prst="rect">
                      <a:avLst/>
                    </a:prstGeom>
                    <a:noFill/>
                    <a:ln>
                      <a:noFill/>
                    </a:ln>
                  </pic:spPr>
                </pic:pic>
              </a:graphicData>
            </a:graphic>
          </wp:inline>
        </w:drawing>
      </w:r>
    </w:p>
    <w:p w14:paraId="3A62D5BD" w14:textId="77777777" w:rsidR="00580760" w:rsidRDefault="00580760" w:rsidP="00580760"/>
    <w:p w14:paraId="7CAE8E8B" w14:textId="2D00CB5B" w:rsidR="00580760" w:rsidRPr="002115B7" w:rsidRDefault="00580760" w:rsidP="00580760">
      <w:pPr>
        <w:rPr>
          <w:b/>
          <w:bCs/>
        </w:rPr>
      </w:pPr>
      <w:r>
        <w:rPr>
          <w:b/>
          <w:bCs/>
        </w:rPr>
        <w:t xml:space="preserve">Proposal 2: The MAC CE for L1/2 mobility trigger contains at least a candidate configuration index. </w:t>
      </w:r>
    </w:p>
    <w:p w14:paraId="4F9F775C" w14:textId="77777777" w:rsidR="00580760" w:rsidRDefault="00580760" w:rsidP="00580760"/>
    <w:p w14:paraId="33B2F0D8" w14:textId="77777777" w:rsidR="00580760" w:rsidRDefault="00580760" w:rsidP="00580760">
      <w:r>
        <w:t xml:space="preserve">In addition, we already perform </w:t>
      </w:r>
      <w:proofErr w:type="spellStart"/>
      <w:r>
        <w:t>SCell</w:t>
      </w:r>
      <w:proofErr w:type="spellEnd"/>
      <w:r>
        <w:t xml:space="preserve"> activation/deactivation using MAC. We assume that it needs to be possible to activate/deactivate </w:t>
      </w:r>
      <w:proofErr w:type="spellStart"/>
      <w:r>
        <w:t>SCells</w:t>
      </w:r>
      <w:proofErr w:type="spellEnd"/>
      <w:r>
        <w:t xml:space="preserve"> at the same time as performing </w:t>
      </w:r>
      <w:proofErr w:type="spellStart"/>
      <w:r>
        <w:t>SpCell</w:t>
      </w:r>
      <w:proofErr w:type="spellEnd"/>
      <w:r>
        <w:t xml:space="preserve"> change. Otherwise, we would need to send a first MAC CE in order to activate the candidate configuration, then send a second one to activate the configured </w:t>
      </w:r>
      <w:proofErr w:type="spellStart"/>
      <w:r>
        <w:t>SCells</w:t>
      </w:r>
      <w:proofErr w:type="spellEnd"/>
      <w:r>
        <w:t xml:space="preserve">. Performing this in a single step would significantly improve latency in terms of being able to perform handover directly to a CA configuration.  </w:t>
      </w:r>
    </w:p>
    <w:p w14:paraId="72CE61F0" w14:textId="77777777" w:rsidR="00580760" w:rsidRDefault="00580760" w:rsidP="00580760"/>
    <w:p w14:paraId="72901B5C" w14:textId="5DF07BD8" w:rsidR="00580760" w:rsidRDefault="00580760" w:rsidP="00580760">
      <w:r>
        <w:t xml:space="preserve">Similar to the existing </w:t>
      </w:r>
      <w:proofErr w:type="spellStart"/>
      <w:r>
        <w:t>SCell</w:t>
      </w:r>
      <w:proofErr w:type="spellEnd"/>
      <w:r>
        <w:t xml:space="preserve"> activation/deactivation, the MAC CE could contain a bitmap referring to the indexes of </w:t>
      </w:r>
      <w:proofErr w:type="spellStart"/>
      <w:r>
        <w:t>SCells</w:t>
      </w:r>
      <w:proofErr w:type="spellEnd"/>
      <w:r>
        <w:t xml:space="preserve"> associated with the candidate configuration, for example</w:t>
      </w:r>
      <w:r w:rsidR="00540546">
        <w:t xml:space="preserve"> if we follow option A (see proposal 4 in </w:t>
      </w:r>
      <w:r w:rsidR="00540546">
        <w:fldChar w:fldCharType="begin"/>
      </w:r>
      <w:r w:rsidR="00540546">
        <w:instrText xml:space="preserve"> REF _Ref115370726 \r \h </w:instrText>
      </w:r>
      <w:r w:rsidR="00540546">
        <w:fldChar w:fldCharType="separate"/>
      </w:r>
      <w:r w:rsidR="00540546">
        <w:t>[3]</w:t>
      </w:r>
      <w:r w:rsidR="00540546">
        <w:fldChar w:fldCharType="end"/>
      </w:r>
      <w:r w:rsidR="00540546">
        <w:t xml:space="preserve">) where every possible </w:t>
      </w:r>
      <w:proofErr w:type="spellStart"/>
      <w:r w:rsidR="00540546">
        <w:t>SpCell</w:t>
      </w:r>
      <w:proofErr w:type="spellEnd"/>
      <w:r w:rsidR="00540546">
        <w:t xml:space="preserve"> has a candidate configuration then a candidate index can be signalled, with an </w:t>
      </w:r>
      <w:proofErr w:type="spellStart"/>
      <w:r w:rsidR="00540546">
        <w:t>SCell</w:t>
      </w:r>
      <w:proofErr w:type="spellEnd"/>
      <w:r w:rsidR="00540546">
        <w:t xml:space="preserve"> activation/deactivation bitmap, </w:t>
      </w:r>
      <w:r>
        <w:t>similar to the following:</w:t>
      </w:r>
    </w:p>
    <w:p w14:paraId="1D769D46" w14:textId="77777777" w:rsidR="00580760" w:rsidRPr="004406A6" w:rsidRDefault="00580760" w:rsidP="00580760"/>
    <w:bookmarkEnd w:id="0"/>
    <w:p w14:paraId="6A7C3BDA" w14:textId="77777777" w:rsidR="00580760" w:rsidRDefault="00580760" w:rsidP="00580760">
      <w:pPr>
        <w:jc w:val="center"/>
        <w:rPr>
          <w:b/>
          <w:bCs/>
        </w:rPr>
      </w:pPr>
      <w:r w:rsidRPr="004328FD">
        <w:rPr>
          <w:noProof/>
        </w:rPr>
        <w:drawing>
          <wp:inline distT="0" distB="0" distL="0" distR="0" wp14:anchorId="523BCC7C" wp14:editId="5B208E7B">
            <wp:extent cx="3685831" cy="2050523"/>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3791" cy="2060515"/>
                    </a:xfrm>
                    <a:prstGeom prst="rect">
                      <a:avLst/>
                    </a:prstGeom>
                    <a:noFill/>
                    <a:ln>
                      <a:noFill/>
                    </a:ln>
                  </pic:spPr>
                </pic:pic>
              </a:graphicData>
            </a:graphic>
          </wp:inline>
        </w:drawing>
      </w:r>
    </w:p>
    <w:p w14:paraId="3B110797" w14:textId="77777777" w:rsidR="00580760" w:rsidRDefault="00580760" w:rsidP="00580760">
      <w:pPr>
        <w:jc w:val="center"/>
        <w:rPr>
          <w:b/>
          <w:bCs/>
        </w:rPr>
      </w:pPr>
    </w:p>
    <w:p w14:paraId="175D0D31" w14:textId="77777777" w:rsidR="00580760" w:rsidRDefault="00580760" w:rsidP="00580760">
      <w:pPr>
        <w:jc w:val="center"/>
        <w:rPr>
          <w:b/>
          <w:bCs/>
        </w:rPr>
      </w:pPr>
    </w:p>
    <w:p w14:paraId="67CFC267" w14:textId="09D58887" w:rsidR="00580760" w:rsidRDefault="00580760" w:rsidP="00580760">
      <w:pPr>
        <w:pStyle w:val="B4"/>
        <w:ind w:left="0" w:firstLine="0"/>
        <w:rPr>
          <w:b/>
          <w:bCs/>
        </w:rPr>
      </w:pPr>
      <w:r w:rsidRPr="00B21FA3">
        <w:rPr>
          <w:b/>
          <w:bCs/>
        </w:rPr>
        <w:t xml:space="preserve">Proposal 3: </w:t>
      </w:r>
      <w:r w:rsidR="00540546">
        <w:rPr>
          <w:b/>
          <w:bCs/>
        </w:rPr>
        <w:t>I</w:t>
      </w:r>
      <w:r w:rsidRPr="00B21FA3">
        <w:rPr>
          <w:b/>
          <w:bCs/>
        </w:rPr>
        <w:t xml:space="preserve">t should be possible to indicate a new candidate configuration index and perform </w:t>
      </w:r>
      <w:proofErr w:type="spellStart"/>
      <w:r w:rsidRPr="00B21FA3">
        <w:rPr>
          <w:b/>
          <w:bCs/>
        </w:rPr>
        <w:t>SCell</w:t>
      </w:r>
      <w:proofErr w:type="spellEnd"/>
      <w:r w:rsidRPr="00B21FA3">
        <w:rPr>
          <w:b/>
          <w:bCs/>
        </w:rPr>
        <w:t xml:space="preserve"> activation/deactivation (amongst </w:t>
      </w:r>
      <w:proofErr w:type="spellStart"/>
      <w:r w:rsidRPr="00B21FA3">
        <w:rPr>
          <w:b/>
          <w:bCs/>
        </w:rPr>
        <w:t>SCells</w:t>
      </w:r>
      <w:proofErr w:type="spellEnd"/>
      <w:r w:rsidRPr="00B21FA3">
        <w:rPr>
          <w:b/>
          <w:bCs/>
        </w:rPr>
        <w:t xml:space="preserve"> associated with the candidate configuration) simultaneously.</w:t>
      </w:r>
    </w:p>
    <w:p w14:paraId="203018C7" w14:textId="08CF46D4" w:rsidR="00204752" w:rsidRDefault="00540546" w:rsidP="00580760">
      <w:r>
        <w:t>With the Option B (</w:t>
      </w:r>
      <w:r>
        <w:t xml:space="preserve">see proposal 4 in </w:t>
      </w:r>
      <w:r>
        <w:fldChar w:fldCharType="begin"/>
      </w:r>
      <w:r>
        <w:instrText xml:space="preserve"> REF _Ref115370726 \r \h </w:instrText>
      </w:r>
      <w:r>
        <w:fldChar w:fldCharType="separate"/>
      </w:r>
      <w:r>
        <w:t>[3]</w:t>
      </w:r>
      <w:r>
        <w:fldChar w:fldCharType="end"/>
      </w:r>
      <w:r>
        <w:t xml:space="preserve">) it can be possible to provide a </w:t>
      </w:r>
      <w:proofErr w:type="spellStart"/>
      <w:r>
        <w:t>CellGroupConfig</w:t>
      </w:r>
      <w:proofErr w:type="spellEnd"/>
      <w:r>
        <w:t xml:space="preserve"> (for examp</w:t>
      </w:r>
      <w:r w:rsidR="00204752">
        <w:t>l</w:t>
      </w:r>
      <w:r>
        <w:t xml:space="preserve">e per DU) with multiple </w:t>
      </w:r>
      <w:proofErr w:type="spellStart"/>
      <w:r>
        <w:t>SpCell</w:t>
      </w:r>
      <w:proofErr w:type="spellEnd"/>
      <w:r>
        <w:t xml:space="preserve"> and </w:t>
      </w:r>
      <w:proofErr w:type="spellStart"/>
      <w:r>
        <w:t>SCell</w:t>
      </w:r>
      <w:proofErr w:type="spellEnd"/>
      <w:r>
        <w:t xml:space="preserve"> combination options. In this case one extra octet might be needed to signal this in MAC CE. The candidate configuration index would need to be provided, the </w:t>
      </w:r>
      <w:proofErr w:type="spellStart"/>
      <w:r>
        <w:t>SpCell</w:t>
      </w:r>
      <w:proofErr w:type="spellEnd"/>
      <w:r>
        <w:t xml:space="preserve"> index (</w:t>
      </w:r>
      <w:r w:rsidR="00204752">
        <w:t xml:space="preserve">within the list of possible </w:t>
      </w:r>
      <w:proofErr w:type="spellStart"/>
      <w:r w:rsidR="00204752">
        <w:t>SpCells</w:t>
      </w:r>
      <w:proofErr w:type="spellEnd"/>
      <w:r w:rsidR="00204752">
        <w:t xml:space="preserve"> in that candidate configuration) would be provided, and finally the </w:t>
      </w:r>
      <w:proofErr w:type="spellStart"/>
      <w:r w:rsidR="00204752">
        <w:t>SCell</w:t>
      </w:r>
      <w:proofErr w:type="spellEnd"/>
      <w:r w:rsidR="00204752">
        <w:t xml:space="preserve"> activation/deactivation bitmap. This would look similar to the following:</w:t>
      </w:r>
    </w:p>
    <w:p w14:paraId="7E1103F8" w14:textId="43C7E54A" w:rsidR="00204752" w:rsidRDefault="00204752" w:rsidP="00204752">
      <w:pPr>
        <w:jc w:val="center"/>
      </w:pPr>
      <w:r w:rsidRPr="00204752">
        <w:drawing>
          <wp:inline distT="0" distB="0" distL="0" distR="0" wp14:anchorId="0235BEFF" wp14:editId="040AB071">
            <wp:extent cx="3637280" cy="24269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8625" cy="2441196"/>
                    </a:xfrm>
                    <a:prstGeom prst="rect">
                      <a:avLst/>
                    </a:prstGeom>
                    <a:noFill/>
                    <a:ln>
                      <a:noFill/>
                    </a:ln>
                  </pic:spPr>
                </pic:pic>
              </a:graphicData>
            </a:graphic>
          </wp:inline>
        </w:drawing>
      </w:r>
    </w:p>
    <w:p w14:paraId="5C65526D" w14:textId="703360AF" w:rsidR="00540546" w:rsidRDefault="00540546" w:rsidP="00580760">
      <w:r>
        <w:lastRenderedPageBreak/>
        <w:t xml:space="preserve"> </w:t>
      </w:r>
    </w:p>
    <w:p w14:paraId="4A143F07" w14:textId="71B0FD76" w:rsidR="00204752" w:rsidRDefault="00204752" w:rsidP="00204752">
      <w:pPr>
        <w:pStyle w:val="B4"/>
        <w:ind w:left="0" w:firstLine="0"/>
        <w:rPr>
          <w:b/>
          <w:bCs/>
        </w:rPr>
      </w:pPr>
      <w:r w:rsidRPr="00B21FA3">
        <w:rPr>
          <w:b/>
          <w:bCs/>
        </w:rPr>
        <w:t xml:space="preserve">Proposal </w:t>
      </w:r>
      <w:r>
        <w:rPr>
          <w:b/>
          <w:bCs/>
        </w:rPr>
        <w:t>4</w:t>
      </w:r>
      <w:r w:rsidRPr="00B21FA3">
        <w:rPr>
          <w:b/>
          <w:bCs/>
        </w:rPr>
        <w:t xml:space="preserve">: </w:t>
      </w:r>
      <w:r>
        <w:rPr>
          <w:b/>
          <w:bCs/>
        </w:rPr>
        <w:t xml:space="preserve">RAN2 to consider the option where a candidate configuration is provided, along with an </w:t>
      </w:r>
      <w:proofErr w:type="spellStart"/>
      <w:r>
        <w:rPr>
          <w:b/>
          <w:bCs/>
        </w:rPr>
        <w:t>SpCell</w:t>
      </w:r>
      <w:proofErr w:type="spellEnd"/>
      <w:r>
        <w:rPr>
          <w:b/>
          <w:bCs/>
        </w:rPr>
        <w:t xml:space="preserve"> index pointing to </w:t>
      </w:r>
      <w:r w:rsidR="00E334E4">
        <w:rPr>
          <w:b/>
          <w:bCs/>
        </w:rPr>
        <w:t xml:space="preserve">one of </w:t>
      </w:r>
      <w:r>
        <w:rPr>
          <w:b/>
          <w:bCs/>
        </w:rPr>
        <w:t xml:space="preserve">multiple possible </w:t>
      </w:r>
      <w:proofErr w:type="spellStart"/>
      <w:r>
        <w:rPr>
          <w:b/>
          <w:bCs/>
        </w:rPr>
        <w:t>SpCells</w:t>
      </w:r>
      <w:proofErr w:type="spellEnd"/>
      <w:r>
        <w:rPr>
          <w:b/>
          <w:bCs/>
        </w:rPr>
        <w:t xml:space="preserve"> in that candidate configuration</w:t>
      </w:r>
      <w:r w:rsidRPr="00B21FA3">
        <w:rPr>
          <w:b/>
          <w:bCs/>
        </w:rPr>
        <w:t>.</w:t>
      </w:r>
      <w:r>
        <w:rPr>
          <w:b/>
          <w:bCs/>
        </w:rPr>
        <w:t xml:space="preserve"> </w:t>
      </w:r>
    </w:p>
    <w:p w14:paraId="5C393CEB" w14:textId="1483D22B" w:rsidR="001A4F23" w:rsidRDefault="001A4F23" w:rsidP="00204752">
      <w:pPr>
        <w:pStyle w:val="B4"/>
        <w:ind w:left="0" w:firstLine="0"/>
        <w:rPr>
          <w:b/>
          <w:bCs/>
        </w:rPr>
      </w:pPr>
      <w:r>
        <w:rPr>
          <w:b/>
          <w:bCs/>
        </w:rPr>
        <w:t xml:space="preserve">(A new candidate </w:t>
      </w:r>
      <w:r w:rsidR="00E334E4">
        <w:rPr>
          <w:b/>
          <w:bCs/>
        </w:rPr>
        <w:t xml:space="preserve">configuration </w:t>
      </w:r>
      <w:r>
        <w:rPr>
          <w:b/>
          <w:bCs/>
        </w:rPr>
        <w:t>index could imply an inter-DU handover</w:t>
      </w:r>
      <w:r w:rsidR="00E334E4">
        <w:rPr>
          <w:b/>
          <w:bCs/>
        </w:rPr>
        <w:t xml:space="preserve"> </w:t>
      </w:r>
      <w:r>
        <w:rPr>
          <w:b/>
          <w:bCs/>
        </w:rPr>
        <w:t>and the same candidate</w:t>
      </w:r>
      <w:r w:rsidR="00E334E4">
        <w:rPr>
          <w:b/>
          <w:bCs/>
        </w:rPr>
        <w:t xml:space="preserve"> configuration index as the current one</w:t>
      </w:r>
      <w:r>
        <w:rPr>
          <w:b/>
          <w:bCs/>
        </w:rPr>
        <w:t xml:space="preserve"> with a new </w:t>
      </w:r>
      <w:proofErr w:type="spellStart"/>
      <w:r>
        <w:rPr>
          <w:b/>
          <w:bCs/>
        </w:rPr>
        <w:t>SpCell</w:t>
      </w:r>
      <w:proofErr w:type="spellEnd"/>
      <w:r>
        <w:rPr>
          <w:b/>
          <w:bCs/>
        </w:rPr>
        <w:t xml:space="preserve"> index could imply intra-DU handover.)</w:t>
      </w:r>
    </w:p>
    <w:p w14:paraId="2861CCB3" w14:textId="4A954AD9" w:rsidR="00580760" w:rsidRDefault="00580760" w:rsidP="00580760">
      <w:r>
        <w:t xml:space="preserve">Any new mechanism needs to be backwards compatible and co-exist with existing procedures, for example, to support inter-CU handover via a L3 mobility (i.e., RRC Reconfiguration). </w:t>
      </w:r>
    </w:p>
    <w:p w14:paraId="4AF6BC5A" w14:textId="77777777" w:rsidR="00580760" w:rsidRDefault="00580760" w:rsidP="00580760"/>
    <w:p w14:paraId="76A4B3EA" w14:textId="77777777" w:rsidR="00580760" w:rsidRDefault="00580760" w:rsidP="00580760">
      <w:r>
        <w:t xml:space="preserve">If a cell is indicated to become an </w:t>
      </w:r>
      <w:proofErr w:type="spellStart"/>
      <w:r>
        <w:t>SpCell</w:t>
      </w:r>
      <w:proofErr w:type="spellEnd"/>
      <w:r>
        <w:t xml:space="preserve">, for example when the MAC CE indicates the associated candidate configuration, then the stored </w:t>
      </w:r>
      <w:proofErr w:type="spellStart"/>
      <w:r>
        <w:t>SpCellConfig</w:t>
      </w:r>
      <w:proofErr w:type="spellEnd"/>
      <w:r>
        <w:t xml:space="preserve"> associated with this cell can be applied, and the existing RRC procedure can be re-used in the same way as if an RRC Reconfiguration had been received (e.g. re-initialise security, release current configuration, apply new configuration, reset MAC if needed, etc). This would be the most straightforward approach both in terms of re-using the existing functionality and in terms of co-existence with the existing functionality. </w:t>
      </w:r>
    </w:p>
    <w:p w14:paraId="27971571" w14:textId="77777777" w:rsidR="00580760" w:rsidRDefault="00580760" w:rsidP="00580760"/>
    <w:p w14:paraId="6A1E4639" w14:textId="77777777" w:rsidR="00580760" w:rsidRDefault="00580760" w:rsidP="00580760">
      <w:r>
        <w:t>Of course, there may need to be some changes to RRC procedures, for example in the intra-DU case it may be possible to avoid performing MAC reset provided that the sources and target MAC configurations are the same and some procedural impact is expected for this. Some procedural impact is also expected in order to describe pre-configuring and selecting the correct configuration when a L1/2 trigger is received. However, most of the current RRC procedures for applying the configurations and performing RRC reconfiguration can and should be re-used.</w:t>
      </w:r>
    </w:p>
    <w:p w14:paraId="2678DF10" w14:textId="77777777" w:rsidR="00580760" w:rsidRDefault="00580760" w:rsidP="00580760"/>
    <w:p w14:paraId="061220F0" w14:textId="0CBF1BA6" w:rsidR="00580760" w:rsidRDefault="00580760" w:rsidP="00580760">
      <w:pPr>
        <w:pStyle w:val="B4"/>
        <w:ind w:left="0" w:firstLine="0"/>
        <w:rPr>
          <w:b/>
          <w:bCs/>
        </w:rPr>
      </w:pPr>
      <w:r>
        <w:rPr>
          <w:b/>
          <w:bCs/>
        </w:rPr>
        <w:t xml:space="preserve">Proposal </w:t>
      </w:r>
      <w:r w:rsidR="00204752">
        <w:rPr>
          <w:b/>
          <w:bCs/>
        </w:rPr>
        <w:t>5</w:t>
      </w:r>
      <w:r>
        <w:rPr>
          <w:b/>
          <w:bCs/>
        </w:rPr>
        <w:t xml:space="preserve">: When the MAC CE triggers an </w:t>
      </w:r>
      <w:proofErr w:type="spellStart"/>
      <w:r>
        <w:rPr>
          <w:b/>
          <w:bCs/>
        </w:rPr>
        <w:t>SpCell</w:t>
      </w:r>
      <w:proofErr w:type="spellEnd"/>
      <w:r>
        <w:rPr>
          <w:b/>
          <w:bCs/>
        </w:rPr>
        <w:t xml:space="preserve"> and/or </w:t>
      </w:r>
      <w:proofErr w:type="spellStart"/>
      <w:r>
        <w:rPr>
          <w:b/>
          <w:bCs/>
        </w:rPr>
        <w:t>SCell</w:t>
      </w:r>
      <w:proofErr w:type="spellEnd"/>
      <w:r>
        <w:rPr>
          <w:b/>
          <w:bCs/>
        </w:rPr>
        <w:t xml:space="preserve"> change, the existing RRC procedures should be re-used as much as possible.</w:t>
      </w:r>
    </w:p>
    <w:p w14:paraId="00864C8A" w14:textId="77777777" w:rsidR="00580760" w:rsidRDefault="00580760" w:rsidP="00580760"/>
    <w:p w14:paraId="3B330A32" w14:textId="77777777" w:rsidR="00580760" w:rsidRPr="00B12753" w:rsidRDefault="00580760" w:rsidP="00580760">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301B059F" w14:textId="77777777" w:rsidR="00580760" w:rsidRPr="004B1631" w:rsidRDefault="00580760" w:rsidP="00580760">
      <w:r w:rsidRPr="004B1631">
        <w:t xml:space="preserve">In this paper we provide the following proposals regarding </w:t>
      </w:r>
      <w:r>
        <w:t>potential solution directions</w:t>
      </w:r>
      <w:r w:rsidRPr="004B1631">
        <w:t xml:space="preserve"> to consider in the design of L1/2 triggered handover</w:t>
      </w:r>
      <w:r>
        <w:t xml:space="preserve"> in Release-18.</w:t>
      </w:r>
    </w:p>
    <w:p w14:paraId="17B36175" w14:textId="77777777" w:rsidR="00580760" w:rsidRPr="008D1D74" w:rsidRDefault="00580760" w:rsidP="00580760">
      <w:pPr>
        <w:rPr>
          <w:b/>
          <w:bCs/>
        </w:rPr>
      </w:pPr>
    </w:p>
    <w:p w14:paraId="57AE7DEC" w14:textId="77777777" w:rsidR="00580760" w:rsidRDefault="00580760" w:rsidP="00580760"/>
    <w:p w14:paraId="5C21BE52" w14:textId="77777777" w:rsidR="00580760" w:rsidRDefault="00580760" w:rsidP="00580760">
      <w:pPr>
        <w:rPr>
          <w:b/>
          <w:bCs/>
        </w:rPr>
      </w:pPr>
      <w:r>
        <w:rPr>
          <w:b/>
          <w:bCs/>
        </w:rPr>
        <w:t xml:space="preserve">Proposal 1: To ensure that the NW can confirm successful delivery of the HO trigger (via HARQ ACK) the L1/2 mobility trigger is conveyed in a MAC CE. </w:t>
      </w:r>
    </w:p>
    <w:p w14:paraId="158F25BC" w14:textId="77777777" w:rsidR="00580760" w:rsidRDefault="00580760" w:rsidP="00580760">
      <w:pPr>
        <w:rPr>
          <w:b/>
          <w:bCs/>
        </w:rPr>
      </w:pPr>
    </w:p>
    <w:p w14:paraId="2FA75DE3" w14:textId="12862E0A" w:rsidR="00580760" w:rsidRDefault="00580760" w:rsidP="00580760">
      <w:pPr>
        <w:rPr>
          <w:b/>
          <w:bCs/>
        </w:rPr>
      </w:pPr>
      <w:r>
        <w:rPr>
          <w:b/>
          <w:bCs/>
        </w:rPr>
        <w:t xml:space="preserve">Proposal 2: The MAC CE for L1/2 mobility trigger contains at least a candidate configuration index. </w:t>
      </w:r>
    </w:p>
    <w:p w14:paraId="42C996F8" w14:textId="77777777" w:rsidR="00580760" w:rsidRDefault="00580760" w:rsidP="00580760">
      <w:pPr>
        <w:rPr>
          <w:b/>
          <w:bCs/>
        </w:rPr>
      </w:pPr>
    </w:p>
    <w:p w14:paraId="17E952F4" w14:textId="60F1AC3E" w:rsidR="00580760" w:rsidRDefault="001A4F23" w:rsidP="001A4F23">
      <w:pPr>
        <w:pStyle w:val="B4"/>
        <w:ind w:left="0" w:firstLine="0"/>
        <w:rPr>
          <w:b/>
          <w:bCs/>
        </w:rPr>
      </w:pPr>
      <w:r w:rsidRPr="00B21FA3">
        <w:rPr>
          <w:b/>
          <w:bCs/>
        </w:rPr>
        <w:t xml:space="preserve">Proposal 3: </w:t>
      </w:r>
      <w:r>
        <w:rPr>
          <w:b/>
          <w:bCs/>
        </w:rPr>
        <w:t>I</w:t>
      </w:r>
      <w:r w:rsidRPr="00B21FA3">
        <w:rPr>
          <w:b/>
          <w:bCs/>
        </w:rPr>
        <w:t xml:space="preserve">t should be possible to indicate a new candidate configuration index and perform </w:t>
      </w:r>
      <w:proofErr w:type="spellStart"/>
      <w:r w:rsidRPr="00B21FA3">
        <w:rPr>
          <w:b/>
          <w:bCs/>
        </w:rPr>
        <w:t>SCell</w:t>
      </w:r>
      <w:proofErr w:type="spellEnd"/>
      <w:r w:rsidRPr="00B21FA3">
        <w:rPr>
          <w:b/>
          <w:bCs/>
        </w:rPr>
        <w:t xml:space="preserve"> activation/deactivation (amongst </w:t>
      </w:r>
      <w:proofErr w:type="spellStart"/>
      <w:r w:rsidRPr="00B21FA3">
        <w:rPr>
          <w:b/>
          <w:bCs/>
        </w:rPr>
        <w:t>SCells</w:t>
      </w:r>
      <w:proofErr w:type="spellEnd"/>
      <w:r w:rsidRPr="00B21FA3">
        <w:rPr>
          <w:b/>
          <w:bCs/>
        </w:rPr>
        <w:t xml:space="preserve"> associated with the candidate configuration) simultaneously.</w:t>
      </w:r>
    </w:p>
    <w:p w14:paraId="61B55BF3" w14:textId="40FC73BE" w:rsidR="00E334E4" w:rsidRDefault="00E334E4" w:rsidP="00E334E4">
      <w:pPr>
        <w:pStyle w:val="B4"/>
        <w:ind w:left="0" w:firstLine="0"/>
        <w:rPr>
          <w:b/>
          <w:bCs/>
        </w:rPr>
      </w:pPr>
      <w:r w:rsidRPr="00B21FA3">
        <w:rPr>
          <w:b/>
          <w:bCs/>
        </w:rPr>
        <w:t xml:space="preserve">Proposal </w:t>
      </w:r>
      <w:r>
        <w:rPr>
          <w:b/>
          <w:bCs/>
        </w:rPr>
        <w:t>4</w:t>
      </w:r>
      <w:r w:rsidRPr="00B21FA3">
        <w:rPr>
          <w:b/>
          <w:bCs/>
        </w:rPr>
        <w:t xml:space="preserve">: </w:t>
      </w:r>
      <w:r>
        <w:rPr>
          <w:b/>
          <w:bCs/>
        </w:rPr>
        <w:t xml:space="preserve">RAN2 to consider the option where a candidate configuration is provided, along with an </w:t>
      </w:r>
      <w:proofErr w:type="spellStart"/>
      <w:r>
        <w:rPr>
          <w:b/>
          <w:bCs/>
        </w:rPr>
        <w:t>SpCell</w:t>
      </w:r>
      <w:proofErr w:type="spellEnd"/>
      <w:r>
        <w:rPr>
          <w:b/>
          <w:bCs/>
        </w:rPr>
        <w:t xml:space="preserve"> index pointing to</w:t>
      </w:r>
      <w:r>
        <w:rPr>
          <w:b/>
          <w:bCs/>
        </w:rPr>
        <w:t xml:space="preserve"> one of</w:t>
      </w:r>
      <w:r>
        <w:rPr>
          <w:b/>
          <w:bCs/>
        </w:rPr>
        <w:t xml:space="preserve"> multiple possible </w:t>
      </w:r>
      <w:proofErr w:type="spellStart"/>
      <w:r>
        <w:rPr>
          <w:b/>
          <w:bCs/>
        </w:rPr>
        <w:t>SpCells</w:t>
      </w:r>
      <w:proofErr w:type="spellEnd"/>
      <w:r>
        <w:rPr>
          <w:b/>
          <w:bCs/>
        </w:rPr>
        <w:t xml:space="preserve"> in that candidate configuration</w:t>
      </w:r>
      <w:r w:rsidRPr="00B21FA3">
        <w:rPr>
          <w:b/>
          <w:bCs/>
        </w:rPr>
        <w:t>.</w:t>
      </w:r>
      <w:r>
        <w:rPr>
          <w:b/>
          <w:bCs/>
        </w:rPr>
        <w:t xml:space="preserve"> </w:t>
      </w:r>
    </w:p>
    <w:p w14:paraId="05956627" w14:textId="77777777" w:rsidR="00E334E4" w:rsidRDefault="00E334E4" w:rsidP="00E334E4">
      <w:pPr>
        <w:pStyle w:val="B4"/>
        <w:ind w:left="0" w:firstLine="0"/>
        <w:rPr>
          <w:b/>
          <w:bCs/>
        </w:rPr>
      </w:pPr>
      <w:r>
        <w:rPr>
          <w:b/>
          <w:bCs/>
        </w:rPr>
        <w:t xml:space="preserve">(A new candidate configuration index could imply an inter-DU handover and the same candidate configuration index as the current one with a new </w:t>
      </w:r>
      <w:proofErr w:type="spellStart"/>
      <w:r>
        <w:rPr>
          <w:b/>
          <w:bCs/>
        </w:rPr>
        <w:t>SpCell</w:t>
      </w:r>
      <w:proofErr w:type="spellEnd"/>
      <w:r>
        <w:rPr>
          <w:b/>
          <w:bCs/>
        </w:rPr>
        <w:t xml:space="preserve"> index could imply intra-DU handover.)</w:t>
      </w:r>
    </w:p>
    <w:p w14:paraId="6D2023EB" w14:textId="13F9EA1C" w:rsidR="00580760" w:rsidRDefault="00580760" w:rsidP="00580760">
      <w:pPr>
        <w:rPr>
          <w:b/>
          <w:bCs/>
        </w:rPr>
      </w:pPr>
      <w:r>
        <w:rPr>
          <w:b/>
          <w:bCs/>
        </w:rPr>
        <w:t xml:space="preserve">Proposal </w:t>
      </w:r>
      <w:r w:rsidR="00204752">
        <w:rPr>
          <w:b/>
          <w:bCs/>
        </w:rPr>
        <w:t>5</w:t>
      </w:r>
      <w:r>
        <w:rPr>
          <w:b/>
          <w:bCs/>
        </w:rPr>
        <w:t xml:space="preserve">: When the MAC CE triggers an </w:t>
      </w:r>
      <w:proofErr w:type="spellStart"/>
      <w:r>
        <w:rPr>
          <w:b/>
          <w:bCs/>
        </w:rPr>
        <w:t>SpCell</w:t>
      </w:r>
      <w:proofErr w:type="spellEnd"/>
      <w:r>
        <w:rPr>
          <w:b/>
          <w:bCs/>
        </w:rPr>
        <w:t xml:space="preserve"> and/or </w:t>
      </w:r>
      <w:proofErr w:type="spellStart"/>
      <w:r>
        <w:rPr>
          <w:b/>
          <w:bCs/>
        </w:rPr>
        <w:t>SCell</w:t>
      </w:r>
      <w:proofErr w:type="spellEnd"/>
      <w:r>
        <w:rPr>
          <w:b/>
          <w:bCs/>
        </w:rPr>
        <w:t xml:space="preserve"> change, the existing RRC procedures should be re-used as much as possible.</w:t>
      </w:r>
    </w:p>
    <w:p w14:paraId="050EE0F1" w14:textId="77777777" w:rsidR="00580760" w:rsidRDefault="00580760" w:rsidP="00580760">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1" w:name="_Ref110867306"/>
    <w:p w14:paraId="26D826B0" w14:textId="77777777" w:rsidR="00580760" w:rsidRPr="00D16CA7" w:rsidRDefault="00580760" w:rsidP="00580760">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w:t>
      </w:r>
      <w:r w:rsidRPr="00A35B0F">
        <w:t>Revised WID on Further NR mobility enhancements</w:t>
      </w:r>
      <w:r>
        <w:t>”</w:t>
      </w:r>
      <w:bookmarkEnd w:id="1"/>
    </w:p>
    <w:bookmarkStart w:id="2" w:name="_Ref110869833"/>
    <w:p w14:paraId="4D50FD10" w14:textId="7EF8336C" w:rsidR="00580760" w:rsidRDefault="00580760" w:rsidP="00580760">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HYPERLINK "https://www.3gpp.org/ftp/specs/archive/38_series/38.133/38133-h60.zip"</w:instrText>
      </w:r>
      <w:r>
        <w:rPr>
          <w:rFonts w:eastAsia="Arial Unicode MS"/>
        </w:rPr>
      </w:r>
      <w:r>
        <w:rPr>
          <w:rFonts w:eastAsia="Arial Unicode MS"/>
        </w:rPr>
        <w:fldChar w:fldCharType="separate"/>
      </w:r>
      <w:r w:rsidRPr="0063791B">
        <w:rPr>
          <w:rStyle w:val="Hyperlink"/>
          <w:rFonts w:eastAsia="Arial Unicode MS"/>
        </w:rPr>
        <w:t>38.133</w:t>
      </w:r>
      <w:bookmarkEnd w:id="2"/>
      <w:r>
        <w:rPr>
          <w:rFonts w:eastAsia="Arial Unicode MS"/>
        </w:rPr>
        <w:fldChar w:fldCharType="end"/>
      </w:r>
      <w:r>
        <w:rPr>
          <w:rFonts w:eastAsia="Arial Unicode MS"/>
        </w:rPr>
        <w:t>, “</w:t>
      </w:r>
      <w:r w:rsidRPr="002A552E">
        <w:rPr>
          <w:rFonts w:eastAsia="Arial Unicode MS"/>
        </w:rPr>
        <w:t>NR; Requirements for support of radio resource management</w:t>
      </w:r>
      <w:r>
        <w:rPr>
          <w:rFonts w:eastAsia="Arial Unicode MS"/>
        </w:rPr>
        <w:t>”</w:t>
      </w:r>
    </w:p>
    <w:bookmarkStart w:id="3" w:name="_Ref115370410"/>
    <w:bookmarkStart w:id="4" w:name="_Ref115370726"/>
    <w:p w14:paraId="78579E5C" w14:textId="72995273" w:rsidR="00540546" w:rsidRDefault="00540546" w:rsidP="00540546">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HYPERLINK "https://www.3gpp.org/ftp/tsg_ran/WG2_RL2/TSGR2_119bis-e/Docs/R2-2210193.zip"</w:instrText>
      </w:r>
      <w:r>
        <w:rPr>
          <w:rFonts w:eastAsia="Arial Unicode MS"/>
        </w:rPr>
      </w:r>
      <w:r>
        <w:rPr>
          <w:rFonts w:eastAsia="Arial Unicode MS"/>
        </w:rPr>
        <w:fldChar w:fldCharType="separate"/>
      </w:r>
      <w:r>
        <w:rPr>
          <w:rStyle w:val="Hyperlink"/>
          <w:rFonts w:eastAsia="Arial Unicode MS"/>
        </w:rPr>
        <w:t>R2-2210193</w:t>
      </w:r>
      <w:r>
        <w:rPr>
          <w:rFonts w:eastAsia="Arial Unicode MS"/>
        </w:rPr>
        <w:fldChar w:fldCharType="end"/>
      </w:r>
      <w:r>
        <w:rPr>
          <w:rFonts w:eastAsia="Arial Unicode MS"/>
        </w:rPr>
        <w:t>, “</w:t>
      </w:r>
      <w:r w:rsidRPr="00540546">
        <w:rPr>
          <w:rFonts w:eastAsia="Arial Unicode MS"/>
        </w:rPr>
        <w:t>RRC Support for L1/2 Triggered Handover</w:t>
      </w:r>
      <w:r>
        <w:rPr>
          <w:rFonts w:eastAsia="Arial Unicode MS"/>
        </w:rPr>
        <w:t>”, InterDigital, Inc.</w:t>
      </w:r>
      <w:bookmarkEnd w:id="4"/>
    </w:p>
    <w:bookmarkEnd w:id="3"/>
    <w:p w14:paraId="12D9C593" w14:textId="77777777" w:rsidR="00540546" w:rsidRDefault="00540546" w:rsidP="00540546">
      <w:pPr>
        <w:pStyle w:val="Reference"/>
        <w:numPr>
          <w:ilvl w:val="0"/>
          <w:numId w:val="0"/>
        </w:numPr>
        <w:overflowPunct w:val="0"/>
        <w:autoSpaceDE w:val="0"/>
        <w:autoSpaceDN w:val="0"/>
        <w:adjustRightInd w:val="0"/>
        <w:ind w:left="720"/>
        <w:jc w:val="both"/>
        <w:textAlignment w:val="baseline"/>
        <w:rPr>
          <w:rFonts w:eastAsia="Arial Unicode MS"/>
        </w:rPr>
      </w:pPr>
    </w:p>
    <w:p w14:paraId="37092176" w14:textId="77777777" w:rsidR="00580760" w:rsidRPr="001105A3" w:rsidRDefault="00580760" w:rsidP="00580760">
      <w:pPr>
        <w:pStyle w:val="Reference"/>
        <w:numPr>
          <w:ilvl w:val="0"/>
          <w:numId w:val="0"/>
        </w:numPr>
        <w:overflowPunct w:val="0"/>
        <w:autoSpaceDE w:val="0"/>
        <w:autoSpaceDN w:val="0"/>
        <w:adjustRightInd w:val="0"/>
        <w:ind w:left="567" w:hanging="567"/>
        <w:jc w:val="both"/>
        <w:textAlignment w:val="baseline"/>
      </w:pPr>
    </w:p>
    <w:p w14:paraId="74556CC1" w14:textId="77777777" w:rsidR="00580760" w:rsidRPr="00E06B61" w:rsidRDefault="00580760" w:rsidP="00580760"/>
    <w:p w14:paraId="6F633548" w14:textId="77777777" w:rsidR="00886B68" w:rsidRPr="00580760" w:rsidRDefault="00886B68" w:rsidP="00580760"/>
    <w:sectPr w:rsidR="00886B68" w:rsidRPr="00580760"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17"/>
  </w:num>
  <w:num w:numId="2" w16cid:durableId="1822573651">
    <w:abstractNumId w:val="7"/>
  </w:num>
  <w:num w:numId="3" w16cid:durableId="1293515717">
    <w:abstractNumId w:val="5"/>
  </w:num>
  <w:num w:numId="4" w16cid:durableId="1859391698">
    <w:abstractNumId w:val="12"/>
  </w:num>
  <w:num w:numId="5" w16cid:durableId="642084593">
    <w:abstractNumId w:val="0"/>
  </w:num>
  <w:num w:numId="6" w16cid:durableId="224075879">
    <w:abstractNumId w:val="0"/>
  </w:num>
  <w:num w:numId="7" w16cid:durableId="1432315274">
    <w:abstractNumId w:val="13"/>
  </w:num>
  <w:num w:numId="8" w16cid:durableId="550461415">
    <w:abstractNumId w:val="9"/>
  </w:num>
  <w:num w:numId="9" w16cid:durableId="2113240567">
    <w:abstractNumId w:val="12"/>
  </w:num>
  <w:num w:numId="10" w16cid:durableId="319046138">
    <w:abstractNumId w:val="16"/>
  </w:num>
  <w:num w:numId="11" w16cid:durableId="989089676">
    <w:abstractNumId w:val="10"/>
  </w:num>
  <w:num w:numId="12" w16cid:durableId="3017690">
    <w:abstractNumId w:val="3"/>
  </w:num>
  <w:num w:numId="13" w16cid:durableId="1136416161">
    <w:abstractNumId w:val="6"/>
  </w:num>
  <w:num w:numId="14" w16cid:durableId="1598631832">
    <w:abstractNumId w:val="4"/>
  </w:num>
  <w:num w:numId="15" w16cid:durableId="1873760530">
    <w:abstractNumId w:val="8"/>
  </w:num>
  <w:num w:numId="16" w16cid:durableId="1043483843">
    <w:abstractNumId w:val="2"/>
  </w:num>
  <w:num w:numId="17" w16cid:durableId="2081756601">
    <w:abstractNumId w:val="11"/>
  </w:num>
  <w:num w:numId="18" w16cid:durableId="405349453">
    <w:abstractNumId w:val="1"/>
  </w:num>
  <w:num w:numId="19" w16cid:durableId="1503083248">
    <w:abstractNumId w:val="15"/>
  </w:num>
  <w:num w:numId="20" w16cid:durableId="18996583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8F7"/>
    <w:rsid w:val="00046D35"/>
    <w:rsid w:val="000517E4"/>
    <w:rsid w:val="00052534"/>
    <w:rsid w:val="000536C1"/>
    <w:rsid w:val="0005434C"/>
    <w:rsid w:val="00054537"/>
    <w:rsid w:val="00065E19"/>
    <w:rsid w:val="00066ACC"/>
    <w:rsid w:val="000746E2"/>
    <w:rsid w:val="000768DF"/>
    <w:rsid w:val="000770C6"/>
    <w:rsid w:val="000778B1"/>
    <w:rsid w:val="0008007A"/>
    <w:rsid w:val="00084E00"/>
    <w:rsid w:val="00091528"/>
    <w:rsid w:val="00094DBF"/>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7F7F"/>
    <w:rsid w:val="00114B5E"/>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388B"/>
    <w:rsid w:val="0019667B"/>
    <w:rsid w:val="00196E33"/>
    <w:rsid w:val="00197B9A"/>
    <w:rsid w:val="001A074E"/>
    <w:rsid w:val="001A12FE"/>
    <w:rsid w:val="001A1EE3"/>
    <w:rsid w:val="001A3197"/>
    <w:rsid w:val="001A4B92"/>
    <w:rsid w:val="001A4F23"/>
    <w:rsid w:val="001B4FF3"/>
    <w:rsid w:val="001B56B4"/>
    <w:rsid w:val="001B56E8"/>
    <w:rsid w:val="001B7267"/>
    <w:rsid w:val="001C09B3"/>
    <w:rsid w:val="001C0B81"/>
    <w:rsid w:val="001C1B2E"/>
    <w:rsid w:val="001C6122"/>
    <w:rsid w:val="001C6C22"/>
    <w:rsid w:val="001C7317"/>
    <w:rsid w:val="001C78C6"/>
    <w:rsid w:val="001C7C26"/>
    <w:rsid w:val="001D55C2"/>
    <w:rsid w:val="001D7716"/>
    <w:rsid w:val="001D7D4B"/>
    <w:rsid w:val="001E1CAD"/>
    <w:rsid w:val="001F34C0"/>
    <w:rsid w:val="001F5EAA"/>
    <w:rsid w:val="0020218F"/>
    <w:rsid w:val="00203372"/>
    <w:rsid w:val="0020475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E4A"/>
    <w:rsid w:val="002479FA"/>
    <w:rsid w:val="00252264"/>
    <w:rsid w:val="00252505"/>
    <w:rsid w:val="00252A93"/>
    <w:rsid w:val="00252FED"/>
    <w:rsid w:val="0025604F"/>
    <w:rsid w:val="00257082"/>
    <w:rsid w:val="002614E5"/>
    <w:rsid w:val="0026269B"/>
    <w:rsid w:val="00263ED9"/>
    <w:rsid w:val="002646FB"/>
    <w:rsid w:val="002715AB"/>
    <w:rsid w:val="00272A50"/>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3D8"/>
    <w:rsid w:val="00295EB6"/>
    <w:rsid w:val="0029699C"/>
    <w:rsid w:val="002A1775"/>
    <w:rsid w:val="002A1CF9"/>
    <w:rsid w:val="002A21E5"/>
    <w:rsid w:val="002A552E"/>
    <w:rsid w:val="002A602E"/>
    <w:rsid w:val="002B1870"/>
    <w:rsid w:val="002B4ABB"/>
    <w:rsid w:val="002B5016"/>
    <w:rsid w:val="002B627A"/>
    <w:rsid w:val="002B644C"/>
    <w:rsid w:val="002B717C"/>
    <w:rsid w:val="002C141A"/>
    <w:rsid w:val="002C1BC0"/>
    <w:rsid w:val="002C3012"/>
    <w:rsid w:val="002C3BED"/>
    <w:rsid w:val="002C465A"/>
    <w:rsid w:val="002C4DCF"/>
    <w:rsid w:val="002D0E31"/>
    <w:rsid w:val="002D53D0"/>
    <w:rsid w:val="002D55EE"/>
    <w:rsid w:val="002D5B0B"/>
    <w:rsid w:val="002D7553"/>
    <w:rsid w:val="002D7D5D"/>
    <w:rsid w:val="002E1978"/>
    <w:rsid w:val="002F4672"/>
    <w:rsid w:val="002F4D26"/>
    <w:rsid w:val="002F7FE1"/>
    <w:rsid w:val="0030072A"/>
    <w:rsid w:val="00301CD4"/>
    <w:rsid w:val="003030AF"/>
    <w:rsid w:val="003045E4"/>
    <w:rsid w:val="003046A5"/>
    <w:rsid w:val="00305C14"/>
    <w:rsid w:val="00311919"/>
    <w:rsid w:val="00312181"/>
    <w:rsid w:val="00314BBE"/>
    <w:rsid w:val="0031580A"/>
    <w:rsid w:val="00317306"/>
    <w:rsid w:val="003264A8"/>
    <w:rsid w:val="00326C74"/>
    <w:rsid w:val="00326E47"/>
    <w:rsid w:val="00326E5E"/>
    <w:rsid w:val="00330825"/>
    <w:rsid w:val="003348AD"/>
    <w:rsid w:val="003349E9"/>
    <w:rsid w:val="00340B62"/>
    <w:rsid w:val="00340CC3"/>
    <w:rsid w:val="00340F1E"/>
    <w:rsid w:val="003434BE"/>
    <w:rsid w:val="00343BA2"/>
    <w:rsid w:val="00352217"/>
    <w:rsid w:val="00352232"/>
    <w:rsid w:val="003534E4"/>
    <w:rsid w:val="003562DD"/>
    <w:rsid w:val="00360542"/>
    <w:rsid w:val="003616EE"/>
    <w:rsid w:val="003660A4"/>
    <w:rsid w:val="00366302"/>
    <w:rsid w:val="003670EC"/>
    <w:rsid w:val="00373E7B"/>
    <w:rsid w:val="00377064"/>
    <w:rsid w:val="0037776C"/>
    <w:rsid w:val="00377A6E"/>
    <w:rsid w:val="003842A0"/>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3F26"/>
    <w:rsid w:val="003F50DD"/>
    <w:rsid w:val="003F649E"/>
    <w:rsid w:val="004133CB"/>
    <w:rsid w:val="00414A12"/>
    <w:rsid w:val="00414DCA"/>
    <w:rsid w:val="00416E03"/>
    <w:rsid w:val="00423EAC"/>
    <w:rsid w:val="00424B1B"/>
    <w:rsid w:val="00424EB8"/>
    <w:rsid w:val="004257E9"/>
    <w:rsid w:val="004257F8"/>
    <w:rsid w:val="004258D5"/>
    <w:rsid w:val="0043083C"/>
    <w:rsid w:val="004316C0"/>
    <w:rsid w:val="004325FC"/>
    <w:rsid w:val="004406A6"/>
    <w:rsid w:val="004413AE"/>
    <w:rsid w:val="004425B2"/>
    <w:rsid w:val="00442C71"/>
    <w:rsid w:val="0044437C"/>
    <w:rsid w:val="0044580A"/>
    <w:rsid w:val="004469A8"/>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C9D"/>
    <w:rsid w:val="004947BB"/>
    <w:rsid w:val="004A25F0"/>
    <w:rsid w:val="004A62C4"/>
    <w:rsid w:val="004A69D0"/>
    <w:rsid w:val="004B1631"/>
    <w:rsid w:val="004B4091"/>
    <w:rsid w:val="004B446F"/>
    <w:rsid w:val="004B68A7"/>
    <w:rsid w:val="004C4C66"/>
    <w:rsid w:val="004C54F7"/>
    <w:rsid w:val="004D062D"/>
    <w:rsid w:val="004D20F7"/>
    <w:rsid w:val="004D2E3F"/>
    <w:rsid w:val="004D7879"/>
    <w:rsid w:val="004E4568"/>
    <w:rsid w:val="004E668C"/>
    <w:rsid w:val="004F0A44"/>
    <w:rsid w:val="004F2AB4"/>
    <w:rsid w:val="004F3C96"/>
    <w:rsid w:val="004F4154"/>
    <w:rsid w:val="004F7576"/>
    <w:rsid w:val="005004EB"/>
    <w:rsid w:val="005025FA"/>
    <w:rsid w:val="00506A7D"/>
    <w:rsid w:val="00523A75"/>
    <w:rsid w:val="005259BC"/>
    <w:rsid w:val="00532805"/>
    <w:rsid w:val="00532948"/>
    <w:rsid w:val="00534F80"/>
    <w:rsid w:val="005362B4"/>
    <w:rsid w:val="0053751B"/>
    <w:rsid w:val="00540546"/>
    <w:rsid w:val="0054395A"/>
    <w:rsid w:val="00543A51"/>
    <w:rsid w:val="00544A1F"/>
    <w:rsid w:val="00544D11"/>
    <w:rsid w:val="005463FF"/>
    <w:rsid w:val="00546FCE"/>
    <w:rsid w:val="00547611"/>
    <w:rsid w:val="00554B52"/>
    <w:rsid w:val="00555474"/>
    <w:rsid w:val="005606AE"/>
    <w:rsid w:val="00562223"/>
    <w:rsid w:val="00562635"/>
    <w:rsid w:val="00565CB6"/>
    <w:rsid w:val="00570A68"/>
    <w:rsid w:val="00572BDA"/>
    <w:rsid w:val="005736CD"/>
    <w:rsid w:val="00574590"/>
    <w:rsid w:val="005801CD"/>
    <w:rsid w:val="00580327"/>
    <w:rsid w:val="00580760"/>
    <w:rsid w:val="005807CB"/>
    <w:rsid w:val="00586C80"/>
    <w:rsid w:val="00592319"/>
    <w:rsid w:val="0059517D"/>
    <w:rsid w:val="00596F34"/>
    <w:rsid w:val="00597B51"/>
    <w:rsid w:val="005A1322"/>
    <w:rsid w:val="005A2EEB"/>
    <w:rsid w:val="005A390D"/>
    <w:rsid w:val="005A63F0"/>
    <w:rsid w:val="005A7E53"/>
    <w:rsid w:val="005B0F7F"/>
    <w:rsid w:val="005B2B9D"/>
    <w:rsid w:val="005B2CC8"/>
    <w:rsid w:val="005B3AB4"/>
    <w:rsid w:val="005C0406"/>
    <w:rsid w:val="005C095A"/>
    <w:rsid w:val="005C26A3"/>
    <w:rsid w:val="005C2774"/>
    <w:rsid w:val="005C31C1"/>
    <w:rsid w:val="005D4ECB"/>
    <w:rsid w:val="005D5E68"/>
    <w:rsid w:val="005D7660"/>
    <w:rsid w:val="005D7A98"/>
    <w:rsid w:val="005E10B7"/>
    <w:rsid w:val="005E37E0"/>
    <w:rsid w:val="005E4AED"/>
    <w:rsid w:val="005E53A3"/>
    <w:rsid w:val="005E5482"/>
    <w:rsid w:val="005E7480"/>
    <w:rsid w:val="005E7BF1"/>
    <w:rsid w:val="005F0D19"/>
    <w:rsid w:val="005F0E39"/>
    <w:rsid w:val="005F1BAA"/>
    <w:rsid w:val="005F583F"/>
    <w:rsid w:val="0060248C"/>
    <w:rsid w:val="0060341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483E"/>
    <w:rsid w:val="00656896"/>
    <w:rsid w:val="00656E33"/>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2486"/>
    <w:rsid w:val="00695125"/>
    <w:rsid w:val="00697C83"/>
    <w:rsid w:val="006A0981"/>
    <w:rsid w:val="006A259B"/>
    <w:rsid w:val="006A34AB"/>
    <w:rsid w:val="006A4E54"/>
    <w:rsid w:val="006A6BF0"/>
    <w:rsid w:val="006B0746"/>
    <w:rsid w:val="006B428E"/>
    <w:rsid w:val="006B44DF"/>
    <w:rsid w:val="006B5DEA"/>
    <w:rsid w:val="006B754B"/>
    <w:rsid w:val="006C1BFB"/>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700343"/>
    <w:rsid w:val="00700785"/>
    <w:rsid w:val="00704C05"/>
    <w:rsid w:val="00706782"/>
    <w:rsid w:val="007067A9"/>
    <w:rsid w:val="007127A3"/>
    <w:rsid w:val="00712D6C"/>
    <w:rsid w:val="0071418F"/>
    <w:rsid w:val="00714A0C"/>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402D"/>
    <w:rsid w:val="00755B8F"/>
    <w:rsid w:val="007576E4"/>
    <w:rsid w:val="00760697"/>
    <w:rsid w:val="00760AD7"/>
    <w:rsid w:val="0076212D"/>
    <w:rsid w:val="00764013"/>
    <w:rsid w:val="00764C4B"/>
    <w:rsid w:val="007654C9"/>
    <w:rsid w:val="0076610E"/>
    <w:rsid w:val="00771F81"/>
    <w:rsid w:val="007749A1"/>
    <w:rsid w:val="007767B5"/>
    <w:rsid w:val="007860F8"/>
    <w:rsid w:val="00786685"/>
    <w:rsid w:val="00786CFC"/>
    <w:rsid w:val="00792FC8"/>
    <w:rsid w:val="00795231"/>
    <w:rsid w:val="00795B75"/>
    <w:rsid w:val="00795C42"/>
    <w:rsid w:val="007976B7"/>
    <w:rsid w:val="0079794B"/>
    <w:rsid w:val="00797C88"/>
    <w:rsid w:val="007A0AC2"/>
    <w:rsid w:val="007A2FDF"/>
    <w:rsid w:val="007A3F3A"/>
    <w:rsid w:val="007A42FA"/>
    <w:rsid w:val="007B009A"/>
    <w:rsid w:val="007B10E7"/>
    <w:rsid w:val="007B45F6"/>
    <w:rsid w:val="007B595E"/>
    <w:rsid w:val="007B5D0C"/>
    <w:rsid w:val="007B78C7"/>
    <w:rsid w:val="007C29C5"/>
    <w:rsid w:val="007C31A5"/>
    <w:rsid w:val="007C3CC5"/>
    <w:rsid w:val="007C5187"/>
    <w:rsid w:val="007C571F"/>
    <w:rsid w:val="007C633D"/>
    <w:rsid w:val="007C6936"/>
    <w:rsid w:val="007D070F"/>
    <w:rsid w:val="007D1123"/>
    <w:rsid w:val="007D6527"/>
    <w:rsid w:val="007D6E25"/>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11C8"/>
    <w:rsid w:val="008324C5"/>
    <w:rsid w:val="00833C00"/>
    <w:rsid w:val="00842E29"/>
    <w:rsid w:val="008441C9"/>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D1D74"/>
    <w:rsid w:val="008D231D"/>
    <w:rsid w:val="008D314D"/>
    <w:rsid w:val="008D5C5B"/>
    <w:rsid w:val="008D5D65"/>
    <w:rsid w:val="008D60AF"/>
    <w:rsid w:val="008D6A68"/>
    <w:rsid w:val="008E0636"/>
    <w:rsid w:val="008E3A00"/>
    <w:rsid w:val="008E3F2F"/>
    <w:rsid w:val="008E5E29"/>
    <w:rsid w:val="008E6771"/>
    <w:rsid w:val="008F1B40"/>
    <w:rsid w:val="008F1CA5"/>
    <w:rsid w:val="008F475E"/>
    <w:rsid w:val="008F4846"/>
    <w:rsid w:val="008F5C49"/>
    <w:rsid w:val="008F650D"/>
    <w:rsid w:val="00900E9D"/>
    <w:rsid w:val="0090236D"/>
    <w:rsid w:val="00904B75"/>
    <w:rsid w:val="00906266"/>
    <w:rsid w:val="009072C2"/>
    <w:rsid w:val="0090760F"/>
    <w:rsid w:val="0090768E"/>
    <w:rsid w:val="00912D1C"/>
    <w:rsid w:val="00913B0C"/>
    <w:rsid w:val="009154EE"/>
    <w:rsid w:val="009203F3"/>
    <w:rsid w:val="00920751"/>
    <w:rsid w:val="00920B33"/>
    <w:rsid w:val="009233E7"/>
    <w:rsid w:val="009243C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45DC"/>
    <w:rsid w:val="009B4DFB"/>
    <w:rsid w:val="009B528A"/>
    <w:rsid w:val="009C195C"/>
    <w:rsid w:val="009C2989"/>
    <w:rsid w:val="009C3228"/>
    <w:rsid w:val="009C73DD"/>
    <w:rsid w:val="009D2A06"/>
    <w:rsid w:val="009D445D"/>
    <w:rsid w:val="009D6E71"/>
    <w:rsid w:val="009E2FCC"/>
    <w:rsid w:val="009F1CEC"/>
    <w:rsid w:val="009F33EE"/>
    <w:rsid w:val="009F6166"/>
    <w:rsid w:val="00A003A5"/>
    <w:rsid w:val="00A0526D"/>
    <w:rsid w:val="00A10358"/>
    <w:rsid w:val="00A146FD"/>
    <w:rsid w:val="00A16A31"/>
    <w:rsid w:val="00A20494"/>
    <w:rsid w:val="00A25167"/>
    <w:rsid w:val="00A3024B"/>
    <w:rsid w:val="00A32D79"/>
    <w:rsid w:val="00A33969"/>
    <w:rsid w:val="00A357D6"/>
    <w:rsid w:val="00A35B0F"/>
    <w:rsid w:val="00A40D4D"/>
    <w:rsid w:val="00A40F40"/>
    <w:rsid w:val="00A41051"/>
    <w:rsid w:val="00A45900"/>
    <w:rsid w:val="00A46703"/>
    <w:rsid w:val="00A473DB"/>
    <w:rsid w:val="00A543D3"/>
    <w:rsid w:val="00A56BD9"/>
    <w:rsid w:val="00A57C34"/>
    <w:rsid w:val="00A6000C"/>
    <w:rsid w:val="00A63B2B"/>
    <w:rsid w:val="00A63DA0"/>
    <w:rsid w:val="00A65A60"/>
    <w:rsid w:val="00A65D0D"/>
    <w:rsid w:val="00A673FF"/>
    <w:rsid w:val="00A7193A"/>
    <w:rsid w:val="00A72DEC"/>
    <w:rsid w:val="00A740CD"/>
    <w:rsid w:val="00A83BEE"/>
    <w:rsid w:val="00A84334"/>
    <w:rsid w:val="00A84AD3"/>
    <w:rsid w:val="00A85582"/>
    <w:rsid w:val="00A85DD8"/>
    <w:rsid w:val="00A86E69"/>
    <w:rsid w:val="00A8767E"/>
    <w:rsid w:val="00A91703"/>
    <w:rsid w:val="00A94C78"/>
    <w:rsid w:val="00A950D4"/>
    <w:rsid w:val="00A9648D"/>
    <w:rsid w:val="00AA0774"/>
    <w:rsid w:val="00AA595D"/>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E59"/>
    <w:rsid w:val="00AD4FB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10C6C"/>
    <w:rsid w:val="00B1123C"/>
    <w:rsid w:val="00B12753"/>
    <w:rsid w:val="00B12A0A"/>
    <w:rsid w:val="00B14ED3"/>
    <w:rsid w:val="00B16728"/>
    <w:rsid w:val="00B2050B"/>
    <w:rsid w:val="00B21FA3"/>
    <w:rsid w:val="00B2204F"/>
    <w:rsid w:val="00B2257C"/>
    <w:rsid w:val="00B22950"/>
    <w:rsid w:val="00B24FF2"/>
    <w:rsid w:val="00B33DDC"/>
    <w:rsid w:val="00B34366"/>
    <w:rsid w:val="00B35DAA"/>
    <w:rsid w:val="00B35ED4"/>
    <w:rsid w:val="00B369D5"/>
    <w:rsid w:val="00B40097"/>
    <w:rsid w:val="00B40787"/>
    <w:rsid w:val="00B4134E"/>
    <w:rsid w:val="00B42A88"/>
    <w:rsid w:val="00B42E5D"/>
    <w:rsid w:val="00B43A96"/>
    <w:rsid w:val="00B45CD6"/>
    <w:rsid w:val="00B45DEF"/>
    <w:rsid w:val="00B512D0"/>
    <w:rsid w:val="00B54D56"/>
    <w:rsid w:val="00B57FE1"/>
    <w:rsid w:val="00B6677A"/>
    <w:rsid w:val="00B70396"/>
    <w:rsid w:val="00B7497F"/>
    <w:rsid w:val="00B75A91"/>
    <w:rsid w:val="00B8158F"/>
    <w:rsid w:val="00B82A4B"/>
    <w:rsid w:val="00B83111"/>
    <w:rsid w:val="00B856FC"/>
    <w:rsid w:val="00B87221"/>
    <w:rsid w:val="00B87BC2"/>
    <w:rsid w:val="00B953C5"/>
    <w:rsid w:val="00B95538"/>
    <w:rsid w:val="00B95A4D"/>
    <w:rsid w:val="00B97022"/>
    <w:rsid w:val="00B973F9"/>
    <w:rsid w:val="00BA04DA"/>
    <w:rsid w:val="00BA0F96"/>
    <w:rsid w:val="00BA1B1A"/>
    <w:rsid w:val="00BA38FD"/>
    <w:rsid w:val="00BB24AA"/>
    <w:rsid w:val="00BB3BA7"/>
    <w:rsid w:val="00BB5CE6"/>
    <w:rsid w:val="00BB687B"/>
    <w:rsid w:val="00BC0AA1"/>
    <w:rsid w:val="00BC1926"/>
    <w:rsid w:val="00BC1F47"/>
    <w:rsid w:val="00BC3CD6"/>
    <w:rsid w:val="00BD44AD"/>
    <w:rsid w:val="00BD605B"/>
    <w:rsid w:val="00BE1D59"/>
    <w:rsid w:val="00BE48AD"/>
    <w:rsid w:val="00BE5222"/>
    <w:rsid w:val="00BE630C"/>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36AF"/>
    <w:rsid w:val="00C33B80"/>
    <w:rsid w:val="00C34287"/>
    <w:rsid w:val="00C35924"/>
    <w:rsid w:val="00C42645"/>
    <w:rsid w:val="00C43E97"/>
    <w:rsid w:val="00C441D0"/>
    <w:rsid w:val="00C4579C"/>
    <w:rsid w:val="00C463EC"/>
    <w:rsid w:val="00C46A85"/>
    <w:rsid w:val="00C476B1"/>
    <w:rsid w:val="00C55094"/>
    <w:rsid w:val="00C551CE"/>
    <w:rsid w:val="00C553E0"/>
    <w:rsid w:val="00C556B5"/>
    <w:rsid w:val="00C567CD"/>
    <w:rsid w:val="00C63EA6"/>
    <w:rsid w:val="00C6417A"/>
    <w:rsid w:val="00C70CE6"/>
    <w:rsid w:val="00C721C3"/>
    <w:rsid w:val="00C74089"/>
    <w:rsid w:val="00C741C7"/>
    <w:rsid w:val="00C763DC"/>
    <w:rsid w:val="00C77D03"/>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23F5"/>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CF2"/>
    <w:rsid w:val="00CF358C"/>
    <w:rsid w:val="00D01D5D"/>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56EA"/>
    <w:rsid w:val="00D52195"/>
    <w:rsid w:val="00D61D2E"/>
    <w:rsid w:val="00D6353B"/>
    <w:rsid w:val="00D63FE6"/>
    <w:rsid w:val="00D6703E"/>
    <w:rsid w:val="00D70AF0"/>
    <w:rsid w:val="00D71B15"/>
    <w:rsid w:val="00D741C7"/>
    <w:rsid w:val="00D75678"/>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71C5"/>
    <w:rsid w:val="00DA3F61"/>
    <w:rsid w:val="00DB25D6"/>
    <w:rsid w:val="00DB3859"/>
    <w:rsid w:val="00DB5E03"/>
    <w:rsid w:val="00DB6079"/>
    <w:rsid w:val="00DB6370"/>
    <w:rsid w:val="00DB66D9"/>
    <w:rsid w:val="00DB73D0"/>
    <w:rsid w:val="00DB7874"/>
    <w:rsid w:val="00DB79F8"/>
    <w:rsid w:val="00DC0AF9"/>
    <w:rsid w:val="00DC1200"/>
    <w:rsid w:val="00DC6CE0"/>
    <w:rsid w:val="00DD0210"/>
    <w:rsid w:val="00DD14FF"/>
    <w:rsid w:val="00DD45D2"/>
    <w:rsid w:val="00DD7CEB"/>
    <w:rsid w:val="00DE7728"/>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4E4"/>
    <w:rsid w:val="00E33E89"/>
    <w:rsid w:val="00E36674"/>
    <w:rsid w:val="00E3699F"/>
    <w:rsid w:val="00E404B6"/>
    <w:rsid w:val="00E456D8"/>
    <w:rsid w:val="00E51896"/>
    <w:rsid w:val="00E55AE9"/>
    <w:rsid w:val="00E56641"/>
    <w:rsid w:val="00E56BFD"/>
    <w:rsid w:val="00E57B3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B1"/>
    <w:rsid w:val="00EB2CC4"/>
    <w:rsid w:val="00EB3EF4"/>
    <w:rsid w:val="00EB4330"/>
    <w:rsid w:val="00EB4649"/>
    <w:rsid w:val="00EB62E5"/>
    <w:rsid w:val="00EC25EB"/>
    <w:rsid w:val="00EC3404"/>
    <w:rsid w:val="00EC735A"/>
    <w:rsid w:val="00ED079C"/>
    <w:rsid w:val="00ED117C"/>
    <w:rsid w:val="00ED2AB1"/>
    <w:rsid w:val="00ED2ACA"/>
    <w:rsid w:val="00ED38E1"/>
    <w:rsid w:val="00ED428A"/>
    <w:rsid w:val="00ED7BF8"/>
    <w:rsid w:val="00EE12FD"/>
    <w:rsid w:val="00EE2931"/>
    <w:rsid w:val="00EE321B"/>
    <w:rsid w:val="00EE4034"/>
    <w:rsid w:val="00EE4AC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DA"/>
    <w:rsid w:val="00F248E0"/>
    <w:rsid w:val="00F24AAC"/>
    <w:rsid w:val="00F266FC"/>
    <w:rsid w:val="00F30326"/>
    <w:rsid w:val="00F30A37"/>
    <w:rsid w:val="00F32C41"/>
    <w:rsid w:val="00F331EF"/>
    <w:rsid w:val="00F33C7C"/>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4AA"/>
    <w:rsid w:val="00F86053"/>
    <w:rsid w:val="00F861FA"/>
    <w:rsid w:val="00F90741"/>
    <w:rsid w:val="00F930EB"/>
    <w:rsid w:val="00F96A5A"/>
    <w:rsid w:val="00F97857"/>
    <w:rsid w:val="00F97B98"/>
    <w:rsid w:val="00FA2A45"/>
    <w:rsid w:val="00FA3ABE"/>
    <w:rsid w:val="00FA5AAB"/>
    <w:rsid w:val="00FA75DC"/>
    <w:rsid w:val="00FB0B2B"/>
    <w:rsid w:val="00FB33FA"/>
    <w:rsid w:val="00FB70E6"/>
    <w:rsid w:val="00FC0304"/>
    <w:rsid w:val="00FC235E"/>
    <w:rsid w:val="00FC35B4"/>
    <w:rsid w:val="00FD5C76"/>
    <w:rsid w:val="00FE0359"/>
    <w:rsid w:val="00FE584D"/>
    <w:rsid w:val="00FF06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1ABBEE-2D01-43AB-9F5B-E80CA82E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996B9-4FF7-4FA5-9F51-2F1CC9C5AD0B}">
  <ds:schemaRefs>
    <ds:schemaRef ds:uri="http://schemas.microsoft.com/office/infopath/2007/PartnerControls"/>
    <ds:schemaRef ds:uri="http://purl.org/dc/elements/1.1/"/>
    <ds:schemaRef ds:uri="http://schemas.microsoft.com/office/2006/metadata/properties"/>
    <ds:schemaRef ds:uri="e32f50e1-6846-4d7d-ad60-ccd6877e6c5e"/>
    <ds:schemaRef ds:uri="http://purl.org/dc/terms/"/>
    <ds:schemaRef ds:uri="http://schemas.microsoft.com/sharepoint/v4"/>
    <ds:schemaRef ds:uri="http://schemas.microsoft.com/office/2006/documentManagement/types"/>
    <ds:schemaRef ds:uri="http://schemas.openxmlformats.org/package/2006/metadata/core-properties"/>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1578</TotalTime>
  <Pages>3</Pages>
  <Words>1258</Words>
  <Characters>7175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301</cp:revision>
  <dcterms:created xsi:type="dcterms:W3CDTF">2022-02-10T15:51:00Z</dcterms:created>
  <dcterms:modified xsi:type="dcterms:W3CDTF">2022-09-29T18:14:00Z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